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hint="eastAsia"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附件3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职业病诊断救治技术支撑机构建设推荐标准</w:t>
      </w:r>
      <w:bookmarkEnd w:id="0"/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 xml:space="preserve">    一、专业人才队伍建设标准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739"/>
        <w:gridCol w:w="1741"/>
        <w:gridCol w:w="17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类型</w:t>
            </w:r>
          </w:p>
        </w:tc>
        <w:tc>
          <w:tcPr>
            <w:tcW w:w="523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建设标准（国家级技术支撑机构建设标准按功能需求与人员编制另行确定）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省级</w:t>
            </w:r>
          </w:p>
        </w:tc>
        <w:tc>
          <w:tcPr>
            <w:tcW w:w="17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市级</w:t>
            </w:r>
          </w:p>
        </w:tc>
        <w:tc>
          <w:tcPr>
            <w:tcW w:w="17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1.职业病防治院所（职业病专科医院）</w:t>
            </w:r>
          </w:p>
        </w:tc>
        <w:tc>
          <w:tcPr>
            <w:tcW w:w="1739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参照三级综合医院标准配置专业技术人员</w:t>
            </w:r>
          </w:p>
        </w:tc>
        <w:tc>
          <w:tcPr>
            <w:tcW w:w="1741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参照三级综合医院标准配置专业技术人员</w:t>
            </w:r>
          </w:p>
        </w:tc>
        <w:tc>
          <w:tcPr>
            <w:tcW w:w="1759" w:type="dxa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需要设置的，参照二级综合医院标准配置专业技术人员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2.综合医院</w:t>
            </w:r>
          </w:p>
        </w:tc>
        <w:tc>
          <w:tcPr>
            <w:tcW w:w="1739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参照三级综合医院标准配置专业技术人员</w:t>
            </w:r>
          </w:p>
        </w:tc>
        <w:tc>
          <w:tcPr>
            <w:tcW w:w="174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参照三级综合医院标准配置专业技术人员</w:t>
            </w:r>
          </w:p>
        </w:tc>
        <w:tc>
          <w:tcPr>
            <w:tcW w:w="1759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需要设置的，参照二级综合医院标准配置专业技术人员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0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3.负有职业病诊断职责的疾病预防控制机构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按照《职业病诊断与鉴定管理办法》等规定，配置专业技术人员。</w:t>
            </w:r>
          </w:p>
        </w:tc>
        <w:tc>
          <w:tcPr>
            <w:tcW w:w="17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/</w:t>
            </w:r>
          </w:p>
        </w:tc>
      </w:tr>
    </w:tbl>
    <w:p>
      <w:pPr>
        <w:adjustRightInd w:val="0"/>
        <w:snapToGrid w:val="0"/>
        <w:ind w:firstLine="480" w:firstLineChars="200"/>
        <w:jc w:val="left"/>
        <w:rPr>
          <w:rFonts w:ascii="仿宋_GB2312" w:hAnsi="仿宋_GB2312" w:cs="仿宋_GB2312"/>
          <w:kern w:val="0"/>
          <w:sz w:val="24"/>
        </w:rPr>
      </w:pPr>
    </w:p>
    <w:p>
      <w:pPr>
        <w:jc w:val="left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 xml:space="preserve">    二、场所建设标准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1746"/>
        <w:gridCol w:w="1748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项目</w:t>
            </w:r>
          </w:p>
        </w:tc>
        <w:tc>
          <w:tcPr>
            <w:tcW w:w="52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建设标准（国家级另行确定）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省级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市级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1.职业病防治院所（职业病专科医院）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床位配置、建筑面积、各类特殊用房面积等参照三级综合医院标准。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床位配置、建筑面积、各类特殊用房面积等参照三级综合医院标准。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需要设置的，床位配置、建筑面积、各类特殊用房面积等参照二级综合医院标准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2.综合医院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床位配置、建筑面积、各类特殊用房面积等参照三级综合医院标准。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床位配置、建筑面积、各类特殊用房面积等参照三级综合医院标准。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需要设置的，床位配置、建筑面积、各类特殊用房面积等参照二级综合医院标准。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305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3.负有职业病诊断职责的疾病预防控制机构</w:t>
            </w:r>
          </w:p>
        </w:tc>
        <w:tc>
          <w:tcPr>
            <w:tcW w:w="349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床位配置、建筑面积、各类特殊用房面积等，满足《职业病诊断与鉴定管理办法》等规定的要求。</w:t>
            </w:r>
          </w:p>
        </w:tc>
        <w:tc>
          <w:tcPr>
            <w:tcW w:w="17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/</w:t>
            </w:r>
          </w:p>
        </w:tc>
      </w:tr>
    </w:tbl>
    <w:p>
      <w:pPr>
        <w:rPr>
          <w:rFonts w:hint="eastAsia" w:ascii="仿宋_GB2312" w:hAnsi="仿宋_GB2312" w:cs="仿宋_GB2312"/>
          <w:sz w:val="24"/>
        </w:rPr>
      </w:pPr>
      <w:r>
        <w:rPr>
          <w:rFonts w:hint="eastAsia" w:ascii="黑体" w:hAnsi="黑体" w:eastAsia="黑体" w:cs="黑体"/>
          <w:b/>
          <w:sz w:val="30"/>
          <w:szCs w:val="30"/>
        </w:rPr>
        <w:t xml:space="preserve">  </w:t>
      </w:r>
    </w:p>
    <w:p>
      <w:pPr>
        <w:jc w:val="left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ind w:firstLine="301" w:firstLineChars="100"/>
        <w:jc w:val="left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 xml:space="preserve"> 三、仪器设备配置标准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4536"/>
        <w:gridCol w:w="1093"/>
        <w:gridCol w:w="971"/>
        <w:gridCol w:w="10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55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4536" w:type="dxa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仪器设备名称</w:t>
            </w:r>
          </w:p>
        </w:tc>
        <w:tc>
          <w:tcPr>
            <w:tcW w:w="3099" w:type="dxa"/>
            <w:gridSpan w:val="3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配置要求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（国家级另行确定）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55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4536" w:type="dxa"/>
            <w:vMerge w:val="continue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/>
                <w:sz w:val="24"/>
              </w:rPr>
            </w:pP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省级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市级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一、职业病诊断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（一）职业医学检查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高仟伏X线机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DR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CT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核磁共振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心电图仪（十二导联）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动态脑电图分析系统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便携式B超（彩色）配浅表，腹部探头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大型彩色B超（配浅表，腹部，心脏探头）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经颅彩色多普勒检查仪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便携式肺功能仪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大型肺功能仪（配残气、弥散功能）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神经肌电图仪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电子纤维支气管镜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痛觉、触觉、振动觉测定仪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微循环显微镜（参考）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皮温计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眼科、五官科常规检查综合工作台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隔音室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声阻抗仪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听觉诱发电位仪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电测听（纯音）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耳声发射仪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视野计（中心/周边）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眼底镜（直接/间接）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检影设备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裂隙灯及照相分析系统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骨密度仪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（二）职业医学检验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全自动生化分析仪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全自动血液分析仪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化学发光仪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流式细胞仪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定量PCR测定仪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血气分析仪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全自动微生物分析系统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锌原卟啉测定仪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全自动尿液分析仪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尿沉渣分析仪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全自动染色体收获系统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染色体自动扫描分析仪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染色体滴片仪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共聚焦显微镜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细胞遗传学图像处理系统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细胞图像分析系统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荧光免疫分析仪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酶标分析仪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全自动血流变仪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糖化血红蛋白测定仪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全自动凝血分析仪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特定蛋白分析仪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血液推片染片阅片系统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eastAsia" w:ascii="宋体" w:hAnsi="??_GB2312" w:eastAsia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eastAsia="宋体" w:cs="宋体"/>
                <w:kern w:val="0"/>
                <w:sz w:val="24"/>
                <w:szCs w:val="22"/>
                <w:lang w:val="zh-CN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全自动细菌鉴定药敏分析系统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微生物鉴定质谱仪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基因测序仪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核酸成像系统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双光子活体荧光显微镜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基因分析仪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超薄冷冻切片机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多光谱组织成像系统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高内涵成像系统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 xml:space="preserve">电泳及印迹系统   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质谱流式细胞仪系统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轨道阱三合一高分辨质谱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恒温培养箱（四档温度）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恒温摇床培养箱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生化培养箱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血液培养仪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37℃培养箱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bidi="ar"/>
              </w:rPr>
              <w:t>CO</w:t>
            </w:r>
            <w:r>
              <w:rPr>
                <w:rFonts w:hint="eastAsia" w:ascii="仿宋_GB2312" w:hAnsi="仿宋_GB2312" w:cs="仿宋_GB2312"/>
                <w:sz w:val="24"/>
                <w:vertAlign w:val="subscript"/>
                <w:lang w:bidi="ar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培养箱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厌氧培养箱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恒温水浴箱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高精度恒温仪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通风柜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纯水系统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离心机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大容量高速冷冻离心机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低温高速离心机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超速离心机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小容量超高速冷冻离心机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医用冷藏箱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冰箱冷链监测系统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低温冰箱（-40℃）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低温冰箱（-80℃）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液氮罐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荧光显微镜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生物显微镜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生物解剖镜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相差显微镜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灭菌设备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干燥箱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烤箱/干燥箱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去湿机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真空冷冻干燥机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洗板机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电感耦合等离子体发射光谱-质谱联用仪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原子吸收光谱仪（带石墨炉）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原子荧光光谱仪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直接测汞仪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紫外/可见分光光度计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离子色谱仪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液相色谱仪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分析天平(1/10000）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超纯水机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二、医疗救治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全自动洗胃机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双相除颤起搏仪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多参数中央及床旁监测仪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全自动呼吸机（无创）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全自动呼吸机（有创）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全自动心肺复苏机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振动式排痰机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移动式床旁X线机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局部伤口洗消器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电动吸引器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便携式床旁B超机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床旁血液透析灌流仪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血液透析机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持续性肾脏替代治疗机（CRRT机）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高压氧舱（8～10人</w:t>
            </w:r>
            <w:r>
              <w:rPr>
                <w:rFonts w:hint="eastAsia" w:ascii="仿宋_GB2312" w:hAnsi="仿宋_GB2312" w:cs="仿宋_GB2312"/>
                <w:sz w:val="24"/>
                <w:lang w:bidi="ar"/>
              </w:rPr>
              <w:t>/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舱）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心电图机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纤支镜（电子/普通）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内镜清洗消毒一体化装备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内镜储存柜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负压吸引器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手术床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水处理系统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呼吸湿化治疗仪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血气分析仪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输液泵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微量泵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营养泵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三、康复锻炼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（一）物理因子治疗设备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直流电设备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低频电设备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中频电设备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高频电设备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光疗设备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超声波治疗设备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磁治疗设备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热敷装置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半导体激光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牵引治疗设备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气压循环治疗设备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便携式膈肌起搏器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深度呼吸训练器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（二）中医治疗康复设备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中药熏蒸设备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电针治疗仪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易罐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环保烟雾净化器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雷火神针（配灸盒）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（三）康复评定设备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运动心肺功能评定系统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经络检测仪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平衡功能检查训练系统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红外成像仪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肌力和关节活动度评定设备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智能肺功能仪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六分钟步行试验包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人体成分分析仪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临床神经电生理学检查设备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（四）抢救设备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抢救车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简易呼吸器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供氧设备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（五）特色呼吸康复设备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咳痰机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振动排痰仪（背心）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振动排痰仪（叩拍）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振动正压通气治疗系统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容量型呼吸训练器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三色球呼吸训练器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呼气末正压通气训练</w:t>
            </w:r>
            <w:r>
              <w:rPr>
                <w:rFonts w:hint="eastAsia" w:ascii="仿宋_GB2312" w:hAnsi="仿宋_GB2312" w:cs="仿宋_GB2312"/>
                <w:kern w:val="0"/>
                <w:sz w:val="24"/>
                <w:lang w:eastAsia="zh-CN" w:bidi="ar"/>
              </w:rPr>
              <w:t>与</w:t>
            </w: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流量测压表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（六）运动治疗设备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训练用垫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姿势矫正镜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平行杠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轮椅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训练用棍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沙袋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哑铃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墙拉力器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划船器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手指训练器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肌力训练设备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滑轮吊环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电动起立床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治疗床及悬吊装置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功率车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踏步器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助行器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连续性关节被动训练器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训练用阶梯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训练用球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平衡训练设备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功能性电刺激设备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生物反馈训练设备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减重步行训练架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肋木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床旁运动与监护系统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反负重、训练系统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有氧运动康复设备及系统（斜躺式功率车）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有氧运动康复设备及系统（上下肢交叉训练器）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智能气阻式运动康复系统（腰背屈伸训练）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智能气阻式运动康复系统（腿部内收/外展训练器）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智能气阻式运动康复系统（夹胸/扩胸训练器）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（七）心理和音乐治疗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多功能失眠治疗仪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四、基础保障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（一）信息管理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计算机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扫码枪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职业病诊断救治相关信息系统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打印机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服务器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路由器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互联网网络系统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交换机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VPN设备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防火墙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UPS不间断电源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lang w:bidi="ar"/>
              </w:rPr>
              <w:t>（二）现场车辆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4536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救护车</w:t>
            </w:r>
          </w:p>
        </w:tc>
        <w:tc>
          <w:tcPr>
            <w:tcW w:w="1093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971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★</w:t>
            </w:r>
          </w:p>
        </w:tc>
        <w:tc>
          <w:tcPr>
            <w:tcW w:w="1035" w:type="dxa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☆</w:t>
            </w:r>
          </w:p>
        </w:tc>
      </w:tr>
    </w:tbl>
    <w:p>
      <w:pPr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注：1.标注“★”的，为优先推荐配置的仪器设备；标注“☆”的，为自主选择配置的仪器设备</w:t>
      </w:r>
      <w:r>
        <w:rPr>
          <w:rFonts w:hint="eastAsia" w:ascii="仿宋_GB2312" w:hAnsi="仿宋_GB2312" w:cs="仿宋_GB2312"/>
          <w:sz w:val="24"/>
          <w:lang w:eastAsia="zh-CN"/>
        </w:rPr>
        <w:t>。</w:t>
      </w:r>
    </w:p>
    <w:p>
      <w:pPr>
        <w:ind w:firstLine="480" w:firstLineChars="200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2.仪器设备具体配置数量，由地方卫生健康主管部门根据职业病防治技术支撑任务需要决定。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四、支撑能力建设标准</w:t>
      </w:r>
    </w:p>
    <w:tbl>
      <w:tblPr>
        <w:tblStyle w:val="3"/>
        <w:tblW w:w="82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4329"/>
        <w:gridCol w:w="1021"/>
        <w:gridCol w:w="1129"/>
        <w:gridCol w:w="1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84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29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支撑能力</w:t>
            </w:r>
          </w:p>
        </w:tc>
        <w:tc>
          <w:tcPr>
            <w:tcW w:w="3277" w:type="dxa"/>
            <w:gridSpan w:val="3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能力要求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国家级另行确定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84" w:type="dxa"/>
            <w:vMerge w:val="continue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vMerge w:val="continue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省级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市级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、人体生物样本检测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常规检查（血、尿、大便常规、隐血检查）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肝功能（9项）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肾功能（3项）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血清生化（血糖、血脂等）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免疫检查（7项）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培养细胞的微核率检测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培养细胞的染色体畸变分析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姐妹染色单体互换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胞质分裂阻滞微核试验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单细胞凝胶电泳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羟基脱氧鸟苷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血细胞形态学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骨髓形态学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甲状腺激素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凝血常规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血锌原卟啉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糖类抗原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心肌损伤检查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类风湿因子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糖化血红蛋白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细菌培养与鉴定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、职业病诊断、治疗与康复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（一）职业病诊断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职业性尘肺病及其他呼吸系统疾病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职业性皮肤病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职业性眼病 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职业性耳鼻喉口腔疾病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职业性化学中毒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物理因素所致职业病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职业性放射性疾病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职业性传染病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职业性肿瘤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其他职业病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（二）职业病治疗与康复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zh-CN" w:bidi="ar"/>
              </w:rPr>
              <w:t>辖区内粉尘类、重金属类、有机溶剂、放射性疾病等常见职业病治疗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各类职业病治疗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尘肺病呼吸康复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职业性哮喘等呼吸肺康复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有机溶剂所致血液系统疾病康复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正己烷等有机溶剂所致周围神经损伤的康复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职业性手臂振动病的神经血管损伤康复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有机溶剂所致各类皮肤疾病的康复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中毒性脑病的急慢性康复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职业性噪声聋的康复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常见职业病的日常生活能力的评价和训练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常见职业病营养状况的评价和调理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常见职业病社会心理的评价和调整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★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290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、科技攻关能力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诊断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救治人才培训基地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诊断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救治技术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研究中心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基层技术指导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84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3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高校科研实践基地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☆</w:t>
            </w:r>
          </w:p>
        </w:tc>
      </w:tr>
    </w:tbl>
    <w:p>
      <w:pPr>
        <w:ind w:firstLine="480" w:firstLineChars="200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注：标注“★”的，为优先推荐具备的支撑能力；标注“☆”的，为自主选择具备的支撑能力。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A4C92"/>
    <w:rsid w:val="7FAA4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2020-04-08T06:40:00Z</dcterms:created>
  <dc:creator>admin</dc:creator>
  <cp:lastModifiedBy>admin</cp:lastModifiedBy>
  <dcterms:modified xsi:type="dcterms:W3CDTF">2020-04-08T06:41:37Z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